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EA3" w:rsidRPr="009B5EA3" w:rsidRDefault="009B5EA3" w:rsidP="009B5EA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Czy w ramach konkursu w poddziałaniu 9.1.2. szkoły jako wkład niepieniężny do projektu mogą wnosić „Wkład własny w postaci udostępniania </w:t>
      </w:r>
      <w:proofErr w:type="spellStart"/>
      <w:r w:rsidRPr="009B5EA3">
        <w:rPr>
          <w:rFonts w:ascii="Times New Roman" w:eastAsia="Times New Roman" w:hAnsi="Times New Roman" w:cs="Times New Roman"/>
          <w:b/>
          <w:bCs/>
          <w:sz w:val="24"/>
          <w:szCs w:val="24"/>
          <w:lang w:eastAsia="pl-PL"/>
        </w:rPr>
        <w:t>sal</w:t>
      </w:r>
      <w:proofErr w:type="spellEnd"/>
      <w:r w:rsidRPr="009B5EA3">
        <w:rPr>
          <w:rFonts w:ascii="Times New Roman" w:eastAsia="Times New Roman" w:hAnsi="Times New Roman" w:cs="Times New Roman"/>
          <w:b/>
          <w:bCs/>
          <w:sz w:val="24"/>
          <w:szCs w:val="24"/>
          <w:lang w:eastAsia="pl-PL"/>
        </w:rPr>
        <w:t xml:space="preserve"> szkoleniowych”, tak jak ma to miejsce w ramach konkursu dla poddziałania 9.1.1. czy 9.2.1 i jak miało to miejsce do tej pory?</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w:t>
      </w:r>
      <w:r w:rsidRPr="009B5EA3">
        <w:rPr>
          <w:rFonts w:ascii="Times New Roman" w:eastAsia="Times New Roman" w:hAnsi="Times New Roman" w:cs="Times New Roman"/>
          <w:i/>
          <w:iCs/>
          <w:sz w:val="24"/>
          <w:szCs w:val="24"/>
          <w:lang w:eastAsia="pl-PL"/>
        </w:rPr>
        <w:t>Wytycznymi w zakresie kwalifikowalności wydatków w ramach Europejskiego Funduszu Rozwoju Regionalnego, Europejskiego Funduszu Społecznego oraz Funduszu Spójności na lata 2014-2020</w:t>
      </w:r>
      <w:r w:rsidRPr="009B5EA3">
        <w:rPr>
          <w:rFonts w:ascii="Times New Roman" w:eastAsia="Times New Roman" w:hAnsi="Times New Roman" w:cs="Times New Roman"/>
          <w:sz w:val="24"/>
          <w:szCs w:val="24"/>
          <w:lang w:eastAsia="pl-PL"/>
        </w:rPr>
        <w:t xml:space="preserve"> (zwane dalej: Wytycznymi), Podrozdziałem 6.10 pkt 2:</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„Wkład niepieniężny powinien być wnoszony przez Beneficjenta ze składników jego majątku </w:t>
      </w:r>
      <w:r w:rsidRPr="009B5EA3">
        <w:rPr>
          <w:rFonts w:ascii="Times New Roman" w:eastAsia="Times New Roman" w:hAnsi="Times New Roman" w:cs="Times New Roman"/>
          <w:i/>
          <w:iCs/>
          <w:sz w:val="24"/>
          <w:szCs w:val="24"/>
          <w:lang w:eastAsia="pl-PL"/>
        </w:rPr>
        <w:t>lub z majątku innych podmiotów</w:t>
      </w:r>
      <w:r w:rsidRPr="009B5EA3">
        <w:rPr>
          <w:rFonts w:ascii="Times New Roman" w:eastAsia="Times New Roman" w:hAnsi="Times New Roman" w:cs="Times New Roman"/>
          <w:sz w:val="24"/>
          <w:szCs w:val="24"/>
          <w:lang w:eastAsia="pl-PL"/>
        </w:rPr>
        <w:t>, jeżeli możliwość taka wynika z przepisów prawa(…)”.</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Tym samym, w świetle Wytycznych, istnieje możliwość wniesienia wkładu własnego w postaci </w:t>
      </w:r>
      <w:proofErr w:type="spellStart"/>
      <w:r w:rsidRPr="009B5EA3">
        <w:rPr>
          <w:rFonts w:ascii="Times New Roman" w:eastAsia="Times New Roman" w:hAnsi="Times New Roman" w:cs="Times New Roman"/>
          <w:sz w:val="24"/>
          <w:szCs w:val="24"/>
          <w:lang w:eastAsia="pl-PL"/>
        </w:rPr>
        <w:t>sal</w:t>
      </w:r>
      <w:proofErr w:type="spellEnd"/>
      <w:r w:rsidRPr="009B5EA3">
        <w:rPr>
          <w:rFonts w:ascii="Times New Roman" w:eastAsia="Times New Roman" w:hAnsi="Times New Roman" w:cs="Times New Roman"/>
          <w:sz w:val="24"/>
          <w:szCs w:val="24"/>
          <w:lang w:eastAsia="pl-PL"/>
        </w:rPr>
        <w:t xml:space="preserve"> szkoleniowych przez szkoły, których uczniowie są adresatami wsparcia w projekcie, jeśli obowiązujące przepisy nie stanowią inaczej. Ponadto w generatorze wniosku dla poddziałania 9.1.2 uwzględniona jest kategoria kosztów w postaci </w:t>
      </w:r>
      <w:r w:rsidRPr="009B5EA3">
        <w:rPr>
          <w:rFonts w:ascii="Times New Roman" w:eastAsia="Times New Roman" w:hAnsi="Times New Roman" w:cs="Times New Roman"/>
          <w:i/>
          <w:iCs/>
          <w:sz w:val="24"/>
          <w:szCs w:val="24"/>
          <w:lang w:eastAsia="pl-PL"/>
        </w:rPr>
        <w:t xml:space="preserve">„koszt użytkowania </w:t>
      </w:r>
      <w:proofErr w:type="spellStart"/>
      <w:r w:rsidRPr="009B5EA3">
        <w:rPr>
          <w:rFonts w:ascii="Times New Roman" w:eastAsia="Times New Roman" w:hAnsi="Times New Roman" w:cs="Times New Roman"/>
          <w:i/>
          <w:iCs/>
          <w:sz w:val="24"/>
          <w:szCs w:val="24"/>
          <w:lang w:eastAsia="pl-PL"/>
        </w:rPr>
        <w:t>sal</w:t>
      </w:r>
      <w:proofErr w:type="spellEnd"/>
      <w:r w:rsidRPr="009B5EA3">
        <w:rPr>
          <w:rFonts w:ascii="Times New Roman" w:eastAsia="Times New Roman" w:hAnsi="Times New Roman" w:cs="Times New Roman"/>
          <w:i/>
          <w:iCs/>
          <w:sz w:val="24"/>
          <w:szCs w:val="24"/>
          <w:lang w:eastAsia="pl-PL"/>
        </w:rPr>
        <w:t xml:space="preserve"> własnych na potrzeby realizacji projektu – wkład własny niepieniężny”</w:t>
      </w:r>
      <w:r w:rsidRPr="009B5EA3">
        <w:rPr>
          <w:rFonts w:ascii="Times New Roman" w:eastAsia="Times New Roman" w:hAnsi="Times New Roman" w:cs="Times New Roman"/>
          <w:sz w:val="24"/>
          <w:szCs w:val="24"/>
          <w:lang w:eastAsia="pl-PL"/>
        </w:rPr>
        <w:t xml:space="preserve"> (wybór z listy rozwijanej).</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Proszę o wskazanie  zgodnie z jakimi warunkami i na podstawie jakich dokumentów powinna być oszacowana wartość wkładu niepieniężnego wnoszonego do projektu przez szkoły w postaci wynajmu </w:t>
      </w:r>
      <w:proofErr w:type="spellStart"/>
      <w:r w:rsidRPr="009B5EA3">
        <w:rPr>
          <w:rFonts w:ascii="Times New Roman" w:eastAsia="Times New Roman" w:hAnsi="Times New Roman" w:cs="Times New Roman"/>
          <w:b/>
          <w:bCs/>
          <w:sz w:val="24"/>
          <w:szCs w:val="24"/>
          <w:lang w:eastAsia="pl-PL"/>
        </w:rPr>
        <w:t>sal</w:t>
      </w:r>
      <w:proofErr w:type="spellEnd"/>
      <w:r w:rsidRPr="009B5EA3">
        <w:rPr>
          <w:rFonts w:ascii="Times New Roman" w:eastAsia="Times New Roman" w:hAnsi="Times New Roman" w:cs="Times New Roman"/>
          <w:b/>
          <w:bCs/>
          <w:sz w:val="24"/>
          <w:szCs w:val="24"/>
          <w:lang w:eastAsia="pl-PL"/>
        </w:rPr>
        <w:t xml:space="preserve"> szkolnych/szkoleniowych?</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Podrozdziałem 6.10, pkt 3 </w:t>
      </w:r>
      <w:r w:rsidRPr="009B5EA3">
        <w:rPr>
          <w:rFonts w:ascii="Times New Roman" w:eastAsia="Times New Roman" w:hAnsi="Times New Roman" w:cs="Times New Roman"/>
          <w:i/>
          <w:iCs/>
          <w:sz w:val="24"/>
          <w:szCs w:val="24"/>
          <w:lang w:eastAsia="pl-PL"/>
        </w:rPr>
        <w:t>Wytycznych w zakresie kwalifikowalności wydatków w ramach Europejskiego Funduszu Rozwoju Regionalnego, Europejskiego Funduszu Społecznego oraz Funduszu Spójności na lata 2014-2020</w:t>
      </w:r>
      <w:r w:rsidRPr="009B5EA3">
        <w:rPr>
          <w:rFonts w:ascii="Times New Roman" w:eastAsia="Times New Roman" w:hAnsi="Times New Roman" w:cs="Times New Roman"/>
          <w:sz w:val="24"/>
          <w:szCs w:val="24"/>
          <w:lang w:eastAsia="pl-PL"/>
        </w:rPr>
        <w:t>, warunki kwalifikowalności wkładu niepieniężnego są następujące:</w:t>
      </w:r>
    </w:p>
    <w:p w:rsidR="009B5EA3" w:rsidRPr="009B5EA3" w:rsidRDefault="009B5EA3" w:rsidP="009B5EA3">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wkład niepieniężny polega na wniesieniu (wykorzystaniu na rzecz projektu) nieruchomości, urządzeń, materiałów (surowców), wartości niematerialnych i prawnych, ekspertyz lub nieodpłatnej pracy wykonywanej przez wolontariuszy na podstawie ustawy z dnia 24 kwietnia 2003 r. o działalności pożytku publicznego i o wolontariacie,</w:t>
      </w:r>
    </w:p>
    <w:p w:rsidR="009B5EA3" w:rsidRPr="009B5EA3" w:rsidRDefault="009B5EA3" w:rsidP="009B5EA3">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wartość wkładu niepieniężnego została należycie potwierdzona dokumentami o wartości dowodowej równoważnej fakturom,</w:t>
      </w:r>
    </w:p>
    <w:p w:rsidR="009B5EA3" w:rsidRPr="009B5EA3" w:rsidRDefault="009B5EA3" w:rsidP="009B5EA3">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wartość przypisana wkładowi niepieniężnemu nie przekracza stawek rynkowych,</w:t>
      </w:r>
    </w:p>
    <w:p w:rsidR="009B5EA3" w:rsidRPr="009B5EA3" w:rsidRDefault="009B5EA3" w:rsidP="009B5EA3">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wartość i dostarczenie wkładu niepieniężnego mogą być poddane niezależnej ocenie i weryfikacji,</w:t>
      </w:r>
    </w:p>
    <w:p w:rsidR="009B5EA3" w:rsidRPr="009B5EA3" w:rsidRDefault="009B5EA3" w:rsidP="009B5EA3">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przypadku wykorzystania nieruchomości na rzecz projektu jej wartość nie przekracza wartości rynkowej</w:t>
      </w:r>
      <w:r w:rsidRPr="009B5EA3">
        <w:rPr>
          <w:rFonts w:ascii="Times New Roman" w:eastAsia="Times New Roman" w:hAnsi="Times New Roman" w:cs="Times New Roman"/>
          <w:sz w:val="24"/>
          <w:szCs w:val="24"/>
          <w:vertAlign w:val="superscript"/>
          <w:lang w:eastAsia="pl-PL"/>
        </w:rPr>
        <w:t>55</w:t>
      </w:r>
      <w:r w:rsidRPr="009B5EA3">
        <w:rPr>
          <w:rFonts w:ascii="Times New Roman" w:eastAsia="Times New Roman" w:hAnsi="Times New Roman" w:cs="Times New Roman"/>
          <w:sz w:val="24"/>
          <w:szCs w:val="24"/>
          <w:lang w:eastAsia="pl-PL"/>
        </w:rPr>
        <w:t xml:space="preserve">; ponadto wartość nieruchomości jest potwierdzona operatem szacunkowym sporządzonym przez uprawnionego rzeczoznawcę zgodnie z przepisami ustawy z dnia 21 sierpnia 1997 r. o gospodarce nieruchomościami (Dz. U. z 2014 r. poz. 518, z </w:t>
      </w:r>
      <w:proofErr w:type="spellStart"/>
      <w:r w:rsidRPr="009B5EA3">
        <w:rPr>
          <w:rFonts w:ascii="Times New Roman" w:eastAsia="Times New Roman" w:hAnsi="Times New Roman" w:cs="Times New Roman"/>
          <w:sz w:val="24"/>
          <w:szCs w:val="24"/>
          <w:lang w:eastAsia="pl-PL"/>
        </w:rPr>
        <w:t>późn</w:t>
      </w:r>
      <w:proofErr w:type="spellEnd"/>
      <w:r w:rsidRPr="009B5EA3">
        <w:rPr>
          <w:rFonts w:ascii="Times New Roman" w:eastAsia="Times New Roman" w:hAnsi="Times New Roman" w:cs="Times New Roman"/>
          <w:sz w:val="24"/>
          <w:szCs w:val="24"/>
          <w:lang w:eastAsia="pl-PL"/>
        </w:rPr>
        <w:t>. zm.) – aktualnym w momencie złożenia rozliczającego go wniosku o płatność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lastRenderedPageBreak/>
        <w:t>Jednocześnie zgodnie z przypisem nr 55 „wkładem własnym nie zawsze jest cała nieruchomość; mogą być to np. sale, których wartość wycenia się, jako koszt eksploatacji/ utrzymania danego metrażu (stawkę może określić taryfikator danej instytucji)”.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otrzymaną w dniu 2 grudnia 2015 r. opinią IZ RPO WO 2014-2020 wartość wkładu niepieniężnego wnoszonego do projektu w postaci wynajmu </w:t>
      </w:r>
      <w:proofErr w:type="spellStart"/>
      <w:r w:rsidRPr="009B5EA3">
        <w:rPr>
          <w:rFonts w:ascii="Times New Roman" w:eastAsia="Times New Roman" w:hAnsi="Times New Roman" w:cs="Times New Roman"/>
          <w:sz w:val="24"/>
          <w:szCs w:val="24"/>
          <w:lang w:eastAsia="pl-PL"/>
        </w:rPr>
        <w:t>sal</w:t>
      </w:r>
      <w:proofErr w:type="spellEnd"/>
      <w:r w:rsidRPr="009B5EA3">
        <w:rPr>
          <w:rFonts w:ascii="Times New Roman" w:eastAsia="Times New Roman" w:hAnsi="Times New Roman" w:cs="Times New Roman"/>
          <w:sz w:val="24"/>
          <w:szCs w:val="24"/>
          <w:lang w:eastAsia="pl-PL"/>
        </w:rPr>
        <w:t xml:space="preserve"> szkoleniowych powinna zostać oszacowana w oparciu o zatwierdzony przez kierownika jednostki cennik tego rodzaju usług obowiązujący u Wnioskodawcy, a w przypadku, gdy Wnioskodawca takiego cennika nie posiada, o koszty ujęte w </w:t>
      </w:r>
      <w:r w:rsidRPr="009B5EA3">
        <w:rPr>
          <w:rFonts w:ascii="Times New Roman" w:eastAsia="Times New Roman" w:hAnsi="Times New Roman" w:cs="Times New Roman"/>
          <w:i/>
          <w:iCs/>
          <w:sz w:val="24"/>
          <w:szCs w:val="24"/>
          <w:lang w:eastAsia="pl-PL"/>
        </w:rPr>
        <w:t xml:space="preserve">Taryfikatorze maksymalnych, dopuszczalnych cen towarów i usług typowych (powszechnie występujących) dla konkursowego i pozakonkursowego trybu wyboru projektów, dla których ocena przeprowadzona zostanie w ramach RPO WO 2014-2020, Europejskiego Funduszu Europejskiego oraz Funduszu Spójności na lata 2014-2020  </w:t>
      </w:r>
      <w:r w:rsidRPr="009B5EA3">
        <w:rPr>
          <w:rFonts w:ascii="Times New Roman" w:eastAsia="Times New Roman" w:hAnsi="Times New Roman" w:cs="Times New Roman"/>
          <w:sz w:val="24"/>
          <w:szCs w:val="24"/>
          <w:lang w:eastAsia="pl-PL"/>
        </w:rPr>
        <w:t xml:space="preserve">opracowanym przez IZ. Taryfikator zgodnie z </w:t>
      </w:r>
      <w:r w:rsidRPr="009B5EA3">
        <w:rPr>
          <w:rFonts w:ascii="Times New Roman" w:eastAsia="Times New Roman" w:hAnsi="Times New Roman" w:cs="Times New Roman"/>
          <w:i/>
          <w:iCs/>
          <w:sz w:val="24"/>
          <w:szCs w:val="24"/>
          <w:lang w:eastAsia="pl-PL"/>
        </w:rPr>
        <w:t>Wytycznymi w zakresie kwalifikowalności wydatków w ramach Europejskiego Funduszu Rozwoju Regionalnego, Europejskiego Funduszu Społecznego oraz Funduszu Spójności na lata 2014-2020</w:t>
      </w:r>
      <w:r w:rsidRPr="009B5EA3">
        <w:rPr>
          <w:rFonts w:ascii="Times New Roman" w:eastAsia="Times New Roman" w:hAnsi="Times New Roman" w:cs="Times New Roman"/>
          <w:sz w:val="24"/>
          <w:szCs w:val="24"/>
          <w:lang w:eastAsia="pl-PL"/>
        </w:rPr>
        <w:t xml:space="preserve"> zawiera maksymalne stawki rynkowe, które zapewniają racjonalność i efektywność wydatków zgodnie z zasadą uzyskiwania najlepszych rezultatów z danych nakładów. Należy przy tym nadmienić, że stawki oszacowane w oparciu o zatwierdzony przez kierownika jednostki cennik obowiązujący u Wnioskodawcy nie mogą przekraczać odpowiadających im stawek ujętych w taryfikatorze opracowanym przez IZ.</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związku z powyższym przedmiotowe dokumenty mogą stanowić podstawę do oceny spełnienia warunków kwalifikowalności wkładu niepieniężnego.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świetle pkt 6.7 h) Wytycznych niedozwolone jest podwójne finansowanie wydatków, które może stanowić „</w:t>
      </w:r>
      <w:r w:rsidRPr="009B5EA3">
        <w:rPr>
          <w:rFonts w:ascii="Times New Roman" w:eastAsia="Times New Roman" w:hAnsi="Times New Roman" w:cs="Times New Roman"/>
          <w:i/>
          <w:iCs/>
          <w:sz w:val="24"/>
          <w:szCs w:val="24"/>
          <w:lang w:eastAsia="pl-PL"/>
        </w:rPr>
        <w:t>sytuacja gdzie beneficjent, jako wkład własny wnosi do projektu wkład niepieniężny, który w ciągu 7 poprzednich lat (10 lat dla nieruchomości) był współfinansowany ze środków unijnych lub/oraz dotacji z krajowych środków publicznych</w:t>
      </w:r>
      <w:r w:rsidRPr="009B5EA3">
        <w:rPr>
          <w:rFonts w:ascii="Times New Roman" w:eastAsia="Times New Roman" w:hAnsi="Times New Roman" w:cs="Times New Roman"/>
          <w:sz w:val="24"/>
          <w:szCs w:val="24"/>
          <w:lang w:eastAsia="pl-PL"/>
        </w:rPr>
        <w:t>”.</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Zwracam się do Państwa z pytaniem interpretacyjnym odnośnie kryterium merytorycznego szczegółowego dla poddziałania 9.1.2 Wsparcie kształcenia ogólnego w AO. Jak należy rozumieć kryterium, mówiące o wsparciu szkół lub placówek oświatowych, w których uczniowie uzyskują najsłabsze wyniki w skali Aglomeracji Opolskiej? Interesuje nas w szczególności zapis mówiący, iż „projekt, w co najmniej 50% skierowany jest do szkół/podmiotów, które uzyskują najsłabsze wyniki w skali Aglomeracji Opolskiej”. Czy wspomniane 50% ma dotyczyć liczby szkół, objętych wsparciem czy może finansowego wymiaru tegoż wsparcia? Weźmy pod uwagę przykładowy projekt, w którym:10 szkół o średniej z egzaminów wyższej niż średnia dla AO otrzyma 40% wnioskowanego wsparcia, a 8 szkół, o wynikach niższych niż średnia otrzyma 60% wnioskowanego wsparcia. Dla spełnienia ww. kryterium decydująca będzie, więc liczba szkół o niższych niż średnie wynikach z egzaminów czy wielkość wsparcia dla tych szkół?</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W świetle </w:t>
      </w:r>
      <w:r w:rsidRPr="009B5EA3">
        <w:rPr>
          <w:rFonts w:ascii="Times New Roman" w:eastAsia="Times New Roman" w:hAnsi="Times New Roman" w:cs="Times New Roman"/>
          <w:i/>
          <w:iCs/>
          <w:sz w:val="24"/>
          <w:szCs w:val="24"/>
          <w:lang w:eastAsia="pl-PL"/>
        </w:rPr>
        <w:t>Wytycznych w zakresie realizacji przedsięwzięć z udziałem środków Europejskiego Funduszu Społecznego w obszarze edukacji na lata 2014-2020</w:t>
      </w:r>
      <w:r w:rsidRPr="009B5EA3">
        <w:rPr>
          <w:rFonts w:ascii="Times New Roman" w:eastAsia="Times New Roman" w:hAnsi="Times New Roman" w:cs="Times New Roman"/>
          <w:sz w:val="24"/>
          <w:szCs w:val="24"/>
          <w:lang w:eastAsia="pl-PL"/>
        </w:rPr>
        <w:t xml:space="preserve"> „w celu zmniejszenia zróżnicowania międzyszkolnego w odniesieniu do osiąganych przez szkoły lub placówki sytemu oświaty wyników edukacyjnych IZ RPO zapewni, że interwencja EFS zostanie </w:t>
      </w:r>
      <w:r w:rsidRPr="009B5EA3">
        <w:rPr>
          <w:rFonts w:ascii="Times New Roman" w:eastAsia="Times New Roman" w:hAnsi="Times New Roman" w:cs="Times New Roman"/>
          <w:sz w:val="24"/>
          <w:szCs w:val="24"/>
          <w:lang w:eastAsia="pl-PL"/>
        </w:rPr>
        <w:lastRenderedPageBreak/>
        <w:t>skierowana do szkół lub placówek systemu oświaty, które osiągają najsłabsze wyniki edukacyjne:</w:t>
      </w:r>
    </w:p>
    <w:p w:rsidR="009B5EA3" w:rsidRPr="009B5EA3" w:rsidRDefault="009B5EA3" w:rsidP="009B5EA3">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skali regionu;</w:t>
      </w:r>
    </w:p>
    <w:p w:rsidR="009B5EA3" w:rsidRPr="009B5EA3" w:rsidRDefault="009B5EA3" w:rsidP="009B5EA3">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skali subregionu;</w:t>
      </w:r>
    </w:p>
    <w:p w:rsidR="009B5EA3" w:rsidRPr="009B5EA3" w:rsidRDefault="009B5EA3" w:rsidP="009B5EA3">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ramach obszaru wskazanego przez IZ RPO, obejmującego przynajmniej trzy powiaty zlokalizowane w szczególności na obszarach wiejskich;</w:t>
      </w:r>
    </w:p>
    <w:p w:rsidR="009B5EA3" w:rsidRPr="009B5EA3" w:rsidRDefault="009B5EA3" w:rsidP="009B5EA3">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zlokalizowanych na terenie wyodrębnionego obszaru funkcjonalnego planowanego do objęcia wsparciem przy pomocy instrumentu ZIT”.</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Mając powyższe na uwadze, zgodnie z zapisami kryterium merytorycznego szczegółowego (TAK/NIE) nr 8 informuję, iż projekt realizowany w ramach poddziałania 9.1.2 ma być, w co najmniej 50 % skierowany do szkół/podmiotów, które uzyskują najsłabsze wyniki w skali Aglomeracji Opolskiej, </w:t>
      </w:r>
      <w:r w:rsidRPr="009B5EA3">
        <w:rPr>
          <w:rFonts w:ascii="Times New Roman" w:eastAsia="Times New Roman" w:hAnsi="Times New Roman" w:cs="Times New Roman"/>
          <w:b/>
          <w:bCs/>
          <w:sz w:val="24"/>
          <w:szCs w:val="24"/>
          <w:lang w:eastAsia="pl-PL"/>
        </w:rPr>
        <w:t xml:space="preserve">tzn. projekt ma być skierowany w co najmniej 50% do </w:t>
      </w:r>
      <w:r w:rsidRPr="009B5EA3">
        <w:rPr>
          <w:rFonts w:ascii="Times New Roman" w:eastAsia="Times New Roman" w:hAnsi="Times New Roman" w:cs="Times New Roman"/>
          <w:b/>
          <w:bCs/>
          <w:sz w:val="24"/>
          <w:szCs w:val="24"/>
          <w:u w:val="single"/>
          <w:lang w:eastAsia="pl-PL"/>
        </w:rPr>
        <w:t>liczby</w:t>
      </w:r>
      <w:r w:rsidRPr="009B5EA3">
        <w:rPr>
          <w:rFonts w:ascii="Times New Roman" w:eastAsia="Times New Roman" w:hAnsi="Times New Roman" w:cs="Times New Roman"/>
          <w:b/>
          <w:bCs/>
          <w:sz w:val="24"/>
          <w:szCs w:val="24"/>
          <w:lang w:eastAsia="pl-PL"/>
        </w:rPr>
        <w:t xml:space="preserve"> szkół</w:t>
      </w:r>
      <w:r w:rsidRPr="009B5EA3">
        <w:rPr>
          <w:rFonts w:ascii="Times New Roman" w:eastAsia="Times New Roman" w:hAnsi="Times New Roman" w:cs="Times New Roman"/>
          <w:sz w:val="24"/>
          <w:szCs w:val="24"/>
          <w:lang w:eastAsia="pl-PL"/>
        </w:rPr>
        <w:t xml:space="preserve"> </w:t>
      </w:r>
      <w:r w:rsidRPr="009B5EA3">
        <w:rPr>
          <w:rFonts w:ascii="Times New Roman" w:eastAsia="Times New Roman" w:hAnsi="Times New Roman" w:cs="Times New Roman"/>
          <w:b/>
          <w:bCs/>
          <w:sz w:val="24"/>
          <w:szCs w:val="24"/>
          <w:lang w:eastAsia="pl-PL"/>
        </w:rPr>
        <w:t>(jako grupy docelowej), które osiągają najsłabsze wyniki</w:t>
      </w:r>
      <w:r w:rsidRPr="009B5EA3">
        <w:rPr>
          <w:rFonts w:ascii="Times New Roman" w:eastAsia="Times New Roman" w:hAnsi="Times New Roman" w:cs="Times New Roman"/>
          <w:sz w:val="24"/>
          <w:szCs w:val="24"/>
          <w:lang w:eastAsia="pl-PL"/>
        </w:rPr>
        <w:t xml:space="preserve"> w skali Aglomeracji Opolskiej. Ww. kryterium nie odnosi się do </w:t>
      </w:r>
      <w:r w:rsidRPr="009B5EA3">
        <w:rPr>
          <w:rFonts w:ascii="Times New Roman" w:eastAsia="Times New Roman" w:hAnsi="Times New Roman" w:cs="Times New Roman"/>
          <w:sz w:val="24"/>
          <w:szCs w:val="24"/>
          <w:u w:val="single"/>
          <w:lang w:eastAsia="pl-PL"/>
        </w:rPr>
        <w:t>wartości finansowej</w:t>
      </w:r>
      <w:r w:rsidRPr="009B5EA3">
        <w:rPr>
          <w:rFonts w:ascii="Times New Roman" w:eastAsia="Times New Roman" w:hAnsi="Times New Roman" w:cs="Times New Roman"/>
          <w:sz w:val="24"/>
          <w:szCs w:val="24"/>
          <w:lang w:eastAsia="pl-PL"/>
        </w:rPr>
        <w:t xml:space="preserve"> </w:t>
      </w:r>
      <w:r w:rsidRPr="009B5EA3">
        <w:rPr>
          <w:rFonts w:ascii="Times New Roman" w:eastAsia="Times New Roman" w:hAnsi="Times New Roman" w:cs="Times New Roman"/>
          <w:sz w:val="24"/>
          <w:szCs w:val="24"/>
          <w:u w:val="single"/>
          <w:lang w:eastAsia="pl-PL"/>
        </w:rPr>
        <w:t>projektu.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Szanowni Państwo, zwracam się z pytaniem dot. kwalifikowalności sprzętu w ramach pracowni przedmiotów przyrodniczych, tj. czy kwalifikowalny będzie tylko sprzęt wskazany w katalogu wyposażenia opracowanym przez MEN czy jest to tylko katalog przykładowego wyposażenia i we wniosku można wskazać zupełnie inne wyposażenie. Dodatkowo zwracam się z pytaniem dot. zapisów Regulaminu konkursu pkt 7 Doręczanie i obliczanie terminów, tj. Czy zapisy punktu 7 odnoszą się również do terminu składania wniosków o dofinansowanie w wersji papierowej (czyli wniosek zostanie uznany za złożony w terminie jeżeli zostanie nadany w polskiej placówce pocztowej operatora wyznaczonego w rozumieniu Ustawy Prawo pocztowe w dniu 21.12.2015)?</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Na stronie internetowej Ministerstwa Edukacji Narodowej zostały zamieszczone katalogi wyposażenia szkolnych pracowni przyrodniczych. Przedmiotowe katalogi określają sprzęt/pomoce dydaktyczne konieczne (zalecane) do realizacji podstawy programowej. Należy przyjąć, iż w ramach projektu można ponieść wydatki na inne niż „zalecane” przez MEN pomoce dydaktyczne, natomiast zasadność ich zakupu będzie oceniana na etapie oceny merytorycznej projektu.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Odnośnie drugiej części pytania informuję, iż nabór wniosków o dofinansowanie projektów będzie prowadzony </w:t>
      </w:r>
      <w:r w:rsidRPr="009B5EA3">
        <w:rPr>
          <w:rFonts w:ascii="Times New Roman" w:eastAsia="Times New Roman" w:hAnsi="Times New Roman" w:cs="Times New Roman"/>
          <w:b/>
          <w:bCs/>
          <w:sz w:val="24"/>
          <w:szCs w:val="24"/>
          <w:lang w:eastAsia="pl-PL"/>
        </w:rPr>
        <w:t>od dnia</w:t>
      </w:r>
      <w:r w:rsidRPr="009B5EA3">
        <w:rPr>
          <w:rFonts w:ascii="Times New Roman" w:eastAsia="Times New Roman" w:hAnsi="Times New Roman" w:cs="Times New Roman"/>
          <w:sz w:val="24"/>
          <w:szCs w:val="24"/>
          <w:lang w:eastAsia="pl-PL"/>
        </w:rPr>
        <w:t xml:space="preserve"> </w:t>
      </w:r>
      <w:r w:rsidRPr="009B5EA3">
        <w:rPr>
          <w:rFonts w:ascii="Times New Roman" w:eastAsia="Times New Roman" w:hAnsi="Times New Roman" w:cs="Times New Roman"/>
          <w:b/>
          <w:bCs/>
          <w:sz w:val="24"/>
          <w:szCs w:val="24"/>
          <w:lang w:eastAsia="pl-PL"/>
        </w:rPr>
        <w:t>14.12.2015 r. do dnia 21.12.2015 r.</w:t>
      </w:r>
      <w:r w:rsidRPr="009B5EA3">
        <w:rPr>
          <w:rFonts w:ascii="Times New Roman" w:eastAsia="Times New Roman" w:hAnsi="Times New Roman" w:cs="Times New Roman"/>
          <w:sz w:val="24"/>
          <w:szCs w:val="24"/>
          <w:lang w:eastAsia="pl-PL"/>
        </w:rPr>
        <w:t xml:space="preserve"> Wypełniony w </w:t>
      </w:r>
      <w:hyperlink r:id="rId5" w:history="1">
        <w:r w:rsidRPr="009B5EA3">
          <w:rPr>
            <w:rFonts w:ascii="Times New Roman" w:eastAsia="Times New Roman" w:hAnsi="Times New Roman" w:cs="Times New Roman"/>
            <w:color w:val="0000FF"/>
            <w:sz w:val="24"/>
            <w:szCs w:val="24"/>
            <w:u w:val="single"/>
            <w:lang w:eastAsia="pl-PL"/>
          </w:rPr>
          <w:t>Panelu Wnioskodawcy SYZYF RPO WO 2014-2020</w:t>
        </w:r>
      </w:hyperlink>
      <w:r w:rsidRPr="009B5EA3">
        <w:rPr>
          <w:rFonts w:ascii="Times New Roman" w:eastAsia="Times New Roman" w:hAnsi="Times New Roman" w:cs="Times New Roman"/>
          <w:sz w:val="24"/>
          <w:szCs w:val="24"/>
          <w:lang w:eastAsia="pl-PL"/>
        </w:rPr>
        <w:t xml:space="preserve">, tj. generatorze wniosków, formularz wniosku o dofinansowanie projektu, należy wysłać on-line w wyżej określonym terminie, tj. </w:t>
      </w:r>
      <w:r w:rsidRPr="009B5EA3">
        <w:rPr>
          <w:rFonts w:ascii="Times New Roman" w:eastAsia="Times New Roman" w:hAnsi="Times New Roman" w:cs="Times New Roman"/>
          <w:b/>
          <w:bCs/>
          <w:sz w:val="24"/>
          <w:szCs w:val="24"/>
          <w:lang w:eastAsia="pl-PL"/>
        </w:rPr>
        <w:t>do dnia 21.12.2015 r. do godz. 23.59</w:t>
      </w:r>
      <w:r w:rsidRPr="009B5EA3">
        <w:rPr>
          <w:rFonts w:ascii="Times New Roman" w:eastAsia="Times New Roman" w:hAnsi="Times New Roman" w:cs="Times New Roman"/>
          <w:sz w:val="24"/>
          <w:szCs w:val="24"/>
          <w:lang w:eastAsia="pl-PL"/>
        </w:rPr>
        <w:t xml:space="preserve">. Natomiast wersję papierową wniosku (w dwóch egzemplarzach tj. w dwóch oryginałach – zalecane lub oryginale i kopii) wraz z wymaganą dokumentacją, należy złożyć w terminie </w:t>
      </w:r>
      <w:r w:rsidRPr="009B5EA3">
        <w:rPr>
          <w:rFonts w:ascii="Times New Roman" w:eastAsia="Times New Roman" w:hAnsi="Times New Roman" w:cs="Times New Roman"/>
          <w:b/>
          <w:bCs/>
          <w:sz w:val="24"/>
          <w:szCs w:val="24"/>
          <w:lang w:eastAsia="pl-PL"/>
        </w:rPr>
        <w:t>do dnia 21.12.2015 r. do godz. 15.30 w siedzibie Stowarzyszenia Aglomeracja Opolska Związek ZIT.</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W zakresie doręczeń i sposobu obliczania terminów stosuje się przepisy ustawy z dnia 14 czerwca 1960 r. – </w:t>
      </w:r>
      <w:r w:rsidRPr="009B5EA3">
        <w:rPr>
          <w:rFonts w:ascii="Times New Roman" w:eastAsia="Times New Roman" w:hAnsi="Times New Roman" w:cs="Times New Roman"/>
          <w:i/>
          <w:iCs/>
          <w:sz w:val="24"/>
          <w:szCs w:val="24"/>
          <w:lang w:eastAsia="pl-PL"/>
        </w:rPr>
        <w:t xml:space="preserve">Kodeks postępowania administracyjnego. </w:t>
      </w:r>
      <w:r w:rsidRPr="009B5EA3">
        <w:rPr>
          <w:rFonts w:ascii="Times New Roman" w:eastAsia="Times New Roman" w:hAnsi="Times New Roman" w:cs="Times New Roman"/>
          <w:sz w:val="24"/>
          <w:szCs w:val="24"/>
          <w:lang w:eastAsia="pl-PL"/>
        </w:rPr>
        <w:t xml:space="preserve">Informuję, iż zgodnie z Art. 57 </w:t>
      </w:r>
      <w:r w:rsidRPr="009B5EA3">
        <w:rPr>
          <w:rFonts w:ascii="Times New Roman" w:eastAsia="Times New Roman" w:hAnsi="Times New Roman" w:cs="Times New Roman"/>
          <w:sz w:val="24"/>
          <w:szCs w:val="24"/>
          <w:lang w:eastAsia="pl-PL"/>
        </w:rPr>
        <w:lastRenderedPageBreak/>
        <w:t xml:space="preserve">§ 5 KPA termin uważa się za zachowany m.in. jeżeli przed jego upływem wniosek został </w:t>
      </w:r>
      <w:r w:rsidRPr="009B5EA3">
        <w:rPr>
          <w:rFonts w:ascii="Times New Roman" w:eastAsia="Times New Roman" w:hAnsi="Times New Roman" w:cs="Times New Roman"/>
          <w:b/>
          <w:bCs/>
          <w:sz w:val="24"/>
          <w:szCs w:val="24"/>
          <w:lang w:eastAsia="pl-PL"/>
        </w:rPr>
        <w:t>nadany w polskiej placówce pocztowej operatora wyznaczonego w rozumieniu ustawy z dnia 23 listopada 2012 r. - Prawo pocztowe</w:t>
      </w:r>
      <w:r w:rsidRPr="009B5EA3">
        <w:rPr>
          <w:rFonts w:ascii="Times New Roman" w:eastAsia="Times New Roman" w:hAnsi="Times New Roman" w:cs="Times New Roman"/>
          <w:sz w:val="24"/>
          <w:szCs w:val="24"/>
          <w:lang w:eastAsia="pl-PL"/>
        </w:rPr>
        <w:t>.</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Zgodnie z informacjami na stronie UKE (Urząd Komunikacji Elektronicznej) operatorem wyznaczonym na lata 2016-2025 jest Poczta Polska S.A. W 2015 r. także Poczta Polska jest operatorem wyznaczonym. Wobec powyższego wysłanie korespondencji za pośrednictwem innego operatora pocztowego niż Poczta Polska S.A. nie zapewnia zachowania terminu, jeżeli przesyłka nie zostanie doręczona adresatowi (np. organowi administracji) w wyznaczonym terminie.</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Ponadto informuję, iż z powyższego wynika, że usługi kurierskie nie wchodzą w zakres art. 57 kpa, a tym samym wysyłając przesyłkę kurierską, aby zachować termin musi być ona dostarczona do adresata najpóźniej w ostatnim dniu terminu (nie decyduje data nadania a data wpływu).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W związku z ogłoszonym naborem</w:t>
      </w:r>
      <w:hyperlink r:id="rId6" w:history="1">
        <w:r w:rsidRPr="009B5EA3">
          <w:rPr>
            <w:rFonts w:ascii="Times New Roman" w:eastAsia="Times New Roman" w:hAnsi="Times New Roman" w:cs="Times New Roman"/>
            <w:b/>
            <w:bCs/>
            <w:color w:val="0000FF"/>
            <w:sz w:val="24"/>
            <w:szCs w:val="24"/>
            <w:u w:val="single"/>
            <w:lang w:eastAsia="pl-PL"/>
          </w:rPr>
          <w:t xml:space="preserve"> </w:t>
        </w:r>
      </w:hyperlink>
      <w:r w:rsidRPr="009B5EA3">
        <w:rPr>
          <w:rFonts w:ascii="Times New Roman" w:eastAsia="Times New Roman" w:hAnsi="Times New Roman" w:cs="Times New Roman"/>
          <w:b/>
          <w:bCs/>
          <w:sz w:val="24"/>
          <w:szCs w:val="24"/>
          <w:lang w:eastAsia="pl-PL"/>
        </w:rPr>
        <w:t xml:space="preserve">wniosków o dofinansowanie projektów w ramach poddziałania 9.1.2 Wsparcie kształcenia ogólnego w Aglomeracji Opolskiej, uprzejmie proszę o informację, czy publiczna szkoła wyższa może być partnerem w projekcie, zważywszy na zapis w pkt. 30 Regulaminu Konkursu (strona 28), który mówi, że: „Każdy partner powinien być podmiotem uprawnionym do otrzymania wsparcia w ramach poddziałania 9.1.2, zgodnie z warunkami określonymi w SZOOP.” </w:t>
      </w:r>
    </w:p>
    <w:p w:rsidR="009B5EA3" w:rsidRPr="009B5EA3" w:rsidRDefault="009B5EA3" w:rsidP="009B5EA3">
      <w:pPr>
        <w:spacing w:before="100" w:beforeAutospacing="1" w:after="100" w:afterAutospacing="1" w:line="240" w:lineRule="auto"/>
        <w:ind w:left="-35"/>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Zgodnie z pkt 3 Regulaminu konkursu o dofinansowanie w ramach konkursu mogą ubiegać się podmioty działające w obszarze edukacji ogólnej.</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Poprzez podmioty działające w obszarze edukacji ogólnej rozumie się:</w:t>
      </w:r>
    </w:p>
    <w:p w:rsidR="009B5EA3" w:rsidRPr="009B5EA3" w:rsidRDefault="009B5EA3" w:rsidP="009B5EA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podmioty działające na podstawie obowiązujących regulacji prawnych ww. zakresie i/lub</w:t>
      </w:r>
    </w:p>
    <w:p w:rsidR="009B5EA3" w:rsidRPr="009B5EA3" w:rsidRDefault="009B5EA3" w:rsidP="009B5EA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podmioty prowadzące działalność gospodarczą, której przeważający numer PKD odpowiada obszarowi edukacji i/lub</w:t>
      </w:r>
    </w:p>
    <w:p w:rsidR="009B5EA3" w:rsidRPr="009B5EA3" w:rsidRDefault="009B5EA3" w:rsidP="009B5EA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podmioty posiadające w statucie lub w innym dokumencie (np. w umowie spółki) stanowiącym podstawę jego funkcjonowania zapisy o prowadzeniu działalności w przedmiotowym zakresie i/lub</w:t>
      </w:r>
    </w:p>
    <w:p w:rsidR="009B5EA3" w:rsidRPr="009B5EA3" w:rsidRDefault="009B5EA3" w:rsidP="009B5EA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podmioty, które w sprawozdaniu finansowym, sporządzonym na koniec roku obrachunkowego poprzedzającego rok złożenia wniosku o dofinansowanie wykazują, iż przeważający przychód uzyskały z prowadzenia działalności w obszarze edukacji.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Forma prawna beneficjenta musi być zgodna z klasyfikacją form prawnych podmiotów gospodarki narodowej określonych w § 8 rozporządzenia Rady Ministrów z dnia 27 lipca 1999 r. w sprawie sposobu i metodologii prowadzenia i aktualizacji podmiotów gospodarki narodowej, w tym wzorów wniosków, ankiet i zaświadczeń oraz szczegółowych warunków i trybu współdziałania służb statystyki publicznej z innymi organami prowadzącymi urzędowe rejestry i systemy informatyczne administracji publicznej (Dz. U. Nr 69, poz. 763, z </w:t>
      </w:r>
      <w:proofErr w:type="spellStart"/>
      <w:r w:rsidRPr="009B5EA3">
        <w:rPr>
          <w:rFonts w:ascii="Times New Roman" w:eastAsia="Times New Roman" w:hAnsi="Times New Roman" w:cs="Times New Roman"/>
          <w:sz w:val="24"/>
          <w:szCs w:val="24"/>
          <w:lang w:eastAsia="pl-PL"/>
        </w:rPr>
        <w:t>późn</w:t>
      </w:r>
      <w:proofErr w:type="spellEnd"/>
      <w:r w:rsidRPr="009B5EA3">
        <w:rPr>
          <w:rFonts w:ascii="Times New Roman" w:eastAsia="Times New Roman" w:hAnsi="Times New Roman" w:cs="Times New Roman"/>
          <w:sz w:val="24"/>
          <w:szCs w:val="24"/>
          <w:lang w:eastAsia="pl-PL"/>
        </w:rPr>
        <w:t>. zm.).</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lastRenderedPageBreak/>
        <w:t>Zgodnie z powyższym, partnerem w projekcie może być podmiot spełniający ww. warunki.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Zgodnie z definicją kryterium merytorycznego szczegółowego (TAK/NIE) nr 4 „Wsparcie umiejętności i potrzeb uczniów/słuchaczy/wychowanków” działania realizowane w ramach projektów muszą uwzględniać indywidualne potrzeby rozwojowe i edukacyjne oraz możliwości psychofizyczne uczniów/słuchaczy/wychowanków objętych wsparciem, poparte diagnozą przedstawioną wraz z wnioskiem o dofinansowanie projektu. Ponadto zgodnie pkt 3.3 Instrukcji wypełniania wniosku o dofinansowanie projektu (EFS) w przypadku poddziałania 9.1.2 należy pamiętać, że zakres wsparcia powinien wynikać z diagnozy sytuacji szkoły lub placówki systemu oświaty i odpowiadać na specyficzne potrzeby tych podmiotów. Diagnoza powinna być przygotowana i przeprowadzona przez szkołę lub placówkę systemu oświaty lub inny podmiot prowadzący działalność o charakterze edukacyjnym lub badawczym oraz zatwierdzona przez organ prowadzący. Wnioskodawca ma obowiązek przechowywać ww. dokument i na wezwanie IOK okazać go do wglądu.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Zgodnie z definicją kryterium merytorycznego szczegółowego (TAK/NIE) nr 4 „Wsparcie umiejętności i potrzeb uczniów/słuchaczy/wychowanków” diagnoza, którą poparte będą działania realizowane w ramach projektów, uwzględniające indywidualne potrzeby rozwojowe i edukacyjne oraz możliwości psychofizyczne uczniów/słuchaczy/wychowanków objętych wsparciem musi być przedstawiona wraz z wnioskiem o dofinansowanie projektu. Diagnozę tę można zawrzeć zarówno w treści wniosku, jak i przedłożyć w postaci dodatkowego dokumentu.</w:t>
      </w:r>
    </w:p>
    <w:p w:rsidR="009B5EA3" w:rsidRPr="009B5EA3" w:rsidRDefault="009B5EA3" w:rsidP="009B5EA3">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Zgodnie z zapisami SZOOP dot. limitów i ograniczeń w realizacji projektów w ramach poddziałania 9.1.2 Wsparcie kształcenia ogólnego w Aglomeracji Opolskiej „łączny limit wydatków związanych z zakupem sprzętu w ramach typów projektu 2, 3, 4, poniesionych w ramach kosztów bezpośrednich (włączając cross-</w:t>
      </w:r>
      <w:proofErr w:type="spellStart"/>
      <w:r w:rsidRPr="009B5EA3">
        <w:rPr>
          <w:rFonts w:ascii="Times New Roman" w:eastAsia="Times New Roman" w:hAnsi="Times New Roman" w:cs="Times New Roman"/>
          <w:b/>
          <w:bCs/>
          <w:sz w:val="24"/>
          <w:szCs w:val="24"/>
          <w:lang w:eastAsia="pl-PL"/>
        </w:rPr>
        <w:t>financing</w:t>
      </w:r>
      <w:proofErr w:type="spellEnd"/>
      <w:r w:rsidRPr="009B5EA3">
        <w:rPr>
          <w:rFonts w:ascii="Times New Roman" w:eastAsia="Times New Roman" w:hAnsi="Times New Roman" w:cs="Times New Roman"/>
          <w:b/>
          <w:bCs/>
          <w:sz w:val="24"/>
          <w:szCs w:val="24"/>
          <w:lang w:eastAsia="pl-PL"/>
        </w:rPr>
        <w:t xml:space="preserve">), nie może przekroczyć 30% wydatków projektu. Dla typów projektu 1, 5 ww. limit nie może przekroczyć 10%”. Mając powyższe na uwadze proszę o potwierdzenie czy definicja „sprzętu” użyta w SZOOP jest tożsama z definicją „środków trwałych” użytą w Wytycznych w zakresie kwalifikowalności wydatków w ramach EFRR, EFS i FS na lata 2014-2020.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Ponadto proszę o wyjaśnienie, czy Wnioskodawca w przypadku zakupu pomocy dydaktycznych:</w:t>
      </w:r>
    </w:p>
    <w:p w:rsidR="009B5EA3" w:rsidRPr="009B5EA3" w:rsidRDefault="009B5EA3" w:rsidP="009B5EA3">
      <w:pPr>
        <w:numPr>
          <w:ilvl w:val="0"/>
          <w:numId w:val="11"/>
        </w:numPr>
        <w:spacing w:before="100" w:beforeAutospacing="1" w:after="100" w:afterAutospacing="1" w:line="240" w:lineRule="auto"/>
        <w:ind w:left="60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których wartość jednostkowa przekracza 350 zł netto,</w:t>
      </w:r>
    </w:p>
    <w:p w:rsidR="009B5EA3" w:rsidRPr="009B5EA3" w:rsidRDefault="009B5EA3" w:rsidP="009B5EA3">
      <w:pPr>
        <w:numPr>
          <w:ilvl w:val="0"/>
          <w:numId w:val="11"/>
        </w:numPr>
        <w:spacing w:before="100" w:beforeAutospacing="1" w:after="100" w:afterAutospacing="1" w:line="240" w:lineRule="auto"/>
        <w:ind w:left="60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okres ekonomicznej użyteczności jest dłuższy niż rok, </w:t>
      </w:r>
    </w:p>
    <w:p w:rsidR="009B5EA3" w:rsidRPr="009B5EA3" w:rsidRDefault="009B5EA3" w:rsidP="009B5EA3">
      <w:pPr>
        <w:numPr>
          <w:ilvl w:val="0"/>
          <w:numId w:val="11"/>
        </w:numPr>
        <w:spacing w:before="100" w:beforeAutospacing="1" w:after="100" w:afterAutospacing="1" w:line="240" w:lineRule="auto"/>
        <w:ind w:left="60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które nie będą (ze względu na ich wartość) zaewidencjonowane u Beneficjenta, jako środki trwałe, zgodnie z polityką rachunkowości,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wlicza je do limitu wydatków związanych z zakupem środków trwałych wskazanym dla danego typu projektu.</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lastRenderedPageBreak/>
        <w:t>Zgodnie z Wytycznymi w zakresie kwalifikowalności wydatków w ramach EFRR, EFS i FS na lata 2014-2020 każdy sprzęt spełniający definicję środka trwałego zawartą w przedmiotowych wytycznych jest traktowany jako środek trwały. Jednocześnie informuję, że każdy środek trwały o wartości jednostkowej równej i wyższej niż 350,00 PLN netto oraz o przewidywanym okresie ekonomicznej użyteczności dłuższym niż rok wlicza się do łącznego limitu wydatków związanych z zakupem sprzętu i w ramach typów projektu 2, 3, 4, poniesionych w ramach kosztów bezpośrednich (włączając cross-</w:t>
      </w:r>
      <w:proofErr w:type="spellStart"/>
      <w:r w:rsidRPr="009B5EA3">
        <w:rPr>
          <w:rFonts w:ascii="Times New Roman" w:eastAsia="Times New Roman" w:hAnsi="Times New Roman" w:cs="Times New Roman"/>
          <w:sz w:val="24"/>
          <w:szCs w:val="24"/>
          <w:lang w:eastAsia="pl-PL"/>
        </w:rPr>
        <w:t>financing</w:t>
      </w:r>
      <w:proofErr w:type="spellEnd"/>
      <w:r w:rsidRPr="009B5EA3">
        <w:rPr>
          <w:rFonts w:ascii="Times New Roman" w:eastAsia="Times New Roman" w:hAnsi="Times New Roman" w:cs="Times New Roman"/>
          <w:sz w:val="24"/>
          <w:szCs w:val="24"/>
          <w:lang w:eastAsia="pl-PL"/>
        </w:rPr>
        <w:t>), nie może przekroczyć 30% wydatków projektu, a dla typów projektu 1 oraz 5 nie może przekroczyć 10%. Do wspomnianego limitu zaliczają się również pomoce dydaktyczne, jeśli spełniają w/w warunki.</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W kryterium merytorycznym szczegółowym (punktowanym) nr 1 dla poddziałania 9.1.2  „</w:t>
      </w:r>
      <w:r w:rsidRPr="009B5EA3">
        <w:rPr>
          <w:rFonts w:ascii="Times New Roman" w:eastAsia="Times New Roman" w:hAnsi="Times New Roman" w:cs="Times New Roman"/>
          <w:b/>
          <w:bCs/>
          <w:i/>
          <w:iCs/>
          <w:sz w:val="24"/>
          <w:szCs w:val="24"/>
          <w:lang w:eastAsia="pl-PL"/>
        </w:rPr>
        <w:t>Komplementarność projektu</w:t>
      </w:r>
      <w:r w:rsidRPr="009B5EA3">
        <w:rPr>
          <w:rFonts w:ascii="Times New Roman" w:eastAsia="Times New Roman" w:hAnsi="Times New Roman" w:cs="Times New Roman"/>
          <w:b/>
          <w:bCs/>
          <w:sz w:val="24"/>
          <w:szCs w:val="24"/>
          <w:lang w:eastAsia="pl-PL"/>
        </w:rPr>
        <w:t>” wskazano, iż w przypadku, gdy projekt jest komplementarny z działaniami finansowanymi ze środków własnych w obszarze edukacji, wnioskodawca uzyska 2 pkt. Proszę o wyjaśnienie czy za działanie finansowane ze środków własnych można uznać:</w:t>
      </w:r>
    </w:p>
    <w:p w:rsidR="009B5EA3" w:rsidRPr="009B5EA3" w:rsidRDefault="009B5EA3" w:rsidP="009B5EA3">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działania finansowane tylko ze środków własnych wnioskodawcy (w tym poszczególnych partnerów);</w:t>
      </w:r>
    </w:p>
    <w:p w:rsidR="009B5EA3" w:rsidRPr="009B5EA3" w:rsidRDefault="009B5EA3" w:rsidP="009B5EA3">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zakup pomocy naukowej dla szkoły publicznej sfinansowany przez rodziców uczniów (dotyczy przypadku, kiedy organ prowadzący szkołę publiczną jest partnerem projektu, którego liderem jest firma prywatna a realizatorem szkoła publiczna).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Działania finansowane tylko ze środków własnych wnioskodawcy (w tym poszczególnych partnerów) w obszarze edukacji należy traktować, jako działania finansowane ze środków własnych w obszarze edukacji.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W związku z konkursem z Poddziałania: 9.1.2 Wsparcie kształcenia ogólnego w Aglomeracji Opolskiej w ramach Regionalnego Programu Operacyjnego Województwa Opolskiego na lata 2014-2020, mam pytanie dotyczące stosowania uproszczonych metod rozliczania wydatków w w/w konkursie.</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Zgodnie z Wytycznymi  w zakresie kwalifikowalności wydatków w ramach Europejskiego Funduszu Rozwoju Regionalnego, Europejskiego Funduszu Społecznego oraz Funduszu Spójności na lata 2014-2020, Rozdział 6 pkt 6.6 Uproszczone metody rozliczania wydatków „W przypadku, gdy wszystkie działania/zadania projektu są realizowane z zastosowaniem trybu, o którym mowa w podrozdziale 6.5  (dopisano - PZP, zasada konkurencyjności), działania/zadania te rozliczać można wyłącznie na podstawie faktycznie ponoszonych wydatków. Jeżeli jednak tylko część działań/zadań projektu realizowanych jest z zastosowaniem trybu, o którym mowa w podrozdziale 6.5, w ramach projektu mogą być stosowane uproszczone metody rozliczania wydatków”.</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W związku z tymi zapisami mamy kilka pytań:</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lastRenderedPageBreak/>
        <w:t>Co należy rozumieć jako działania?</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Zadania rozumiemy, jako części w budżecie w ramach, których może być kilka pozycji, np.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Zadanie 1: Zajęcia dodatkowe z zastosowaniem narzędzi TIK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Poz. Koszt realizacji dodatkowych zajęć dydaktyczno-wyrównawczych.  Wynagrodzenie nauczycieli prowadzących zajęcia dydaktyczno-wyrównawcze: - matematyczne: 1920 h; - przedmioty przyrodnicze: 1920 h; - język angielski: 1920 h. Łącznie 5760h  kwota np. 460 000,00zł – z uwagi na kwotę wyboru dokonujemy zgodnie z zasadą konkurencyjności.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Poz. Pomoce dydaktyczne wykorzystywane podczas zajęć kształtujących kompetencje kluczowe – matematyczne i podstawowe kompetencje naukowo techniczne. Zakup podręczników dla uczestników zajęć matematycznych i przyrodniczych kwota np. 30 000,00 zł – z uwagi na kwotę  „badanie rynku”</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Zdanie 2: Doradztwo zawodowo-edukacyjne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Poz. Koszt doradztwa </w:t>
      </w:r>
      <w:proofErr w:type="spellStart"/>
      <w:r w:rsidRPr="009B5EA3">
        <w:rPr>
          <w:rFonts w:ascii="Times New Roman" w:eastAsia="Times New Roman" w:hAnsi="Times New Roman" w:cs="Times New Roman"/>
          <w:b/>
          <w:bCs/>
          <w:sz w:val="24"/>
          <w:szCs w:val="24"/>
          <w:lang w:eastAsia="pl-PL"/>
        </w:rPr>
        <w:t>edukacyjno</w:t>
      </w:r>
      <w:proofErr w:type="spellEnd"/>
      <w:r w:rsidRPr="009B5EA3">
        <w:rPr>
          <w:rFonts w:ascii="Times New Roman" w:eastAsia="Times New Roman" w:hAnsi="Times New Roman" w:cs="Times New Roman"/>
          <w:b/>
          <w:bCs/>
          <w:sz w:val="24"/>
          <w:szCs w:val="24"/>
          <w:lang w:eastAsia="pl-PL"/>
        </w:rPr>
        <w:t>– zawodowego dla uczniów lub słuchaczy, ze szczególnym uwzględnieniem uczniów ze specjalnymi potrzebami edukacyjnymi  - kwota 51 000,00 zł, z uwagi na kwotę – zasada konkurencyjności</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Zadanie 3: Przygotowanie nauczycieli do wykorzystania narzędzi TIK w nauczaniu.</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Poz. Przeprowadzenie kursów dla nauczycieli metodą </w:t>
      </w:r>
      <w:proofErr w:type="spellStart"/>
      <w:r w:rsidRPr="009B5EA3">
        <w:rPr>
          <w:rFonts w:ascii="Times New Roman" w:eastAsia="Times New Roman" w:hAnsi="Times New Roman" w:cs="Times New Roman"/>
          <w:b/>
          <w:bCs/>
          <w:sz w:val="24"/>
          <w:szCs w:val="24"/>
          <w:lang w:eastAsia="pl-PL"/>
        </w:rPr>
        <w:t>blended</w:t>
      </w:r>
      <w:proofErr w:type="spellEnd"/>
      <w:r w:rsidRPr="009B5EA3">
        <w:rPr>
          <w:rFonts w:ascii="Times New Roman" w:eastAsia="Times New Roman" w:hAnsi="Times New Roman" w:cs="Times New Roman"/>
          <w:b/>
          <w:bCs/>
          <w:sz w:val="24"/>
          <w:szCs w:val="24"/>
          <w:lang w:eastAsia="pl-PL"/>
        </w:rPr>
        <w:t xml:space="preserve"> learning – kwota 35 000,00 zł – z uwagi na kwotę „badanie rynku”.</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Na podstawie wyżej przedstawionego budżetu prosimy o wyjaśnienie :</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1. Czy teoretycznie do wszystkich pozycji w ramach zadań przykładowego budżetu można stosować uproszczone metody rozliczania wydatków?</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2. Jaki kształt powinien mieć przykładowy budżet, aby nie można było w nim stosować uproszczonych metod rozliczania wydatków?</w:t>
      </w:r>
    </w:p>
    <w:p w:rsidR="009B5EA3"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w:t>
      </w:r>
      <w:r w:rsidRPr="009B5EA3">
        <w:rPr>
          <w:rFonts w:ascii="Times New Roman" w:eastAsia="Times New Roman" w:hAnsi="Times New Roman" w:cs="Times New Roman"/>
          <w:i/>
          <w:iCs/>
          <w:sz w:val="24"/>
          <w:szCs w:val="24"/>
          <w:lang w:eastAsia="pl-PL"/>
        </w:rPr>
        <w:t>Wytycznymi w zakresie kwalifikowalności wydatków w ramach Europejskiego Funduszu Rozwoju Regionalnego, Europejskiego Funduszu Społecznego oraz Funduszu Spójności na lata 2014-2020</w:t>
      </w:r>
      <w:r w:rsidRPr="009B5EA3">
        <w:rPr>
          <w:rFonts w:ascii="Times New Roman" w:eastAsia="Times New Roman" w:hAnsi="Times New Roman" w:cs="Times New Roman"/>
          <w:sz w:val="24"/>
          <w:szCs w:val="24"/>
          <w:lang w:eastAsia="pl-PL"/>
        </w:rPr>
        <w:t xml:space="preserve"> (zwane dalej: Wytycznymi), Podrozdział 6.6, pkt 3 „</w:t>
      </w:r>
      <w:r w:rsidRPr="009B5EA3">
        <w:rPr>
          <w:rFonts w:ascii="Times New Roman" w:eastAsia="Times New Roman" w:hAnsi="Times New Roman" w:cs="Times New Roman"/>
          <w:i/>
          <w:iCs/>
          <w:sz w:val="24"/>
          <w:szCs w:val="24"/>
          <w:lang w:eastAsia="pl-PL"/>
        </w:rPr>
        <w:t xml:space="preserve">W przypadku, gdy wszystkie działania/zadania projektu są realizowane z zastosowaniem trybu, o którym mowa w podrozdziale 6.5, działania/zadania te rozliczać można wyłącznie na </w:t>
      </w:r>
      <w:r w:rsidRPr="009B5EA3">
        <w:rPr>
          <w:rFonts w:ascii="Times New Roman" w:eastAsia="Times New Roman" w:hAnsi="Times New Roman" w:cs="Times New Roman"/>
          <w:i/>
          <w:iCs/>
          <w:sz w:val="24"/>
          <w:szCs w:val="24"/>
          <w:lang w:eastAsia="pl-PL"/>
        </w:rPr>
        <w:lastRenderedPageBreak/>
        <w:t>podstawie faktycznie ponoszonych wydatków. Jeżeli jednak tylko część działań/zadań projektu realizowanych jest z zastosowaniem trybu, o którym mowa w podrozdziale 6.5, w ramach projektu mogą być stosowane uproszczone metody rozliczania wydatków</w:t>
      </w:r>
      <w:r w:rsidRPr="009B5EA3">
        <w:rPr>
          <w:rFonts w:ascii="Times New Roman" w:eastAsia="Times New Roman" w:hAnsi="Times New Roman" w:cs="Times New Roman"/>
          <w:sz w:val="24"/>
          <w:szCs w:val="24"/>
          <w:lang w:eastAsia="pl-PL"/>
        </w:rPr>
        <w:t>”.</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Projekty realizowane w ramach EFS składają się z </w:t>
      </w:r>
      <w:r w:rsidRPr="009B5EA3">
        <w:rPr>
          <w:rFonts w:ascii="Times New Roman" w:eastAsia="Times New Roman" w:hAnsi="Times New Roman" w:cs="Times New Roman"/>
          <w:b/>
          <w:bCs/>
          <w:sz w:val="24"/>
          <w:szCs w:val="24"/>
          <w:lang w:eastAsia="pl-PL"/>
        </w:rPr>
        <w:t>zadań</w:t>
      </w:r>
      <w:r w:rsidRPr="009B5EA3">
        <w:rPr>
          <w:rFonts w:ascii="Times New Roman" w:eastAsia="Times New Roman" w:hAnsi="Times New Roman" w:cs="Times New Roman"/>
          <w:sz w:val="24"/>
          <w:szCs w:val="24"/>
          <w:lang w:eastAsia="pl-PL"/>
        </w:rPr>
        <w:t xml:space="preserve"> w skład, których wchodzą poszczególne koszty (co znajduje odzwierciedlenie w generatorze wniosków).</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Podrozdziałem 6.6.1 pkt 4 Wytycznych kwotą ryczałtową, jest określona w umowie o dofinansowanie kwota uzgodniona na etapie zatwierdzenia wniosku o dofinasowanie projektu </w:t>
      </w:r>
      <w:r w:rsidRPr="009B5EA3">
        <w:rPr>
          <w:rFonts w:ascii="Times New Roman" w:eastAsia="Times New Roman" w:hAnsi="Times New Roman" w:cs="Times New Roman"/>
          <w:sz w:val="24"/>
          <w:szCs w:val="24"/>
          <w:u w:val="single"/>
          <w:lang w:eastAsia="pl-PL"/>
        </w:rPr>
        <w:t>za wykonanie określonego w projekcie zadania lub zadań</w:t>
      </w:r>
      <w:r w:rsidRPr="009B5EA3">
        <w:rPr>
          <w:rFonts w:ascii="Times New Roman" w:eastAsia="Times New Roman" w:hAnsi="Times New Roman" w:cs="Times New Roman"/>
          <w:sz w:val="24"/>
          <w:szCs w:val="24"/>
          <w:lang w:eastAsia="pl-PL"/>
        </w:rPr>
        <w:t>. Ponadto zgodnie z Podrozdziałem 8.6.2 pkt.1 Wytycznych „</w:t>
      </w:r>
      <w:r w:rsidRPr="009B5EA3">
        <w:rPr>
          <w:rFonts w:ascii="Times New Roman" w:eastAsia="Times New Roman" w:hAnsi="Times New Roman" w:cs="Times New Roman"/>
          <w:i/>
          <w:iCs/>
          <w:sz w:val="24"/>
          <w:szCs w:val="24"/>
          <w:u w:val="single"/>
          <w:lang w:eastAsia="pl-PL"/>
        </w:rPr>
        <w:t>Kwotą ryczałtową jest kwota uzgodniona za wykonanie określonego w projekcie zadania na etapie zatwierdzenia wniosku o dofinansowanie projektu</w:t>
      </w:r>
      <w:r w:rsidRPr="009B5EA3">
        <w:rPr>
          <w:rFonts w:ascii="Times New Roman" w:eastAsia="Times New Roman" w:hAnsi="Times New Roman" w:cs="Times New Roman"/>
          <w:sz w:val="24"/>
          <w:szCs w:val="24"/>
          <w:lang w:eastAsia="pl-PL"/>
        </w:rPr>
        <w:t>”, co oznacza, że:</w:t>
      </w:r>
    </w:p>
    <w:p w:rsidR="009B5EA3" w:rsidRPr="009B5EA3" w:rsidRDefault="009B5EA3" w:rsidP="009B5EA3">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jedna kwota ryczałtowa = jedno zadanie;</w:t>
      </w:r>
    </w:p>
    <w:p w:rsidR="009B5EA3" w:rsidRPr="009B5EA3" w:rsidRDefault="009B5EA3" w:rsidP="009B5EA3">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nie ma możliwości łączenia w </w:t>
      </w:r>
      <w:r w:rsidRPr="009B5EA3">
        <w:rPr>
          <w:rFonts w:ascii="Times New Roman" w:eastAsia="Times New Roman" w:hAnsi="Times New Roman" w:cs="Times New Roman"/>
          <w:b/>
          <w:bCs/>
          <w:sz w:val="24"/>
          <w:szCs w:val="24"/>
          <w:lang w:eastAsia="pl-PL"/>
        </w:rPr>
        <w:t>ramach jednego zadania</w:t>
      </w:r>
      <w:r w:rsidRPr="009B5EA3">
        <w:rPr>
          <w:rFonts w:ascii="Times New Roman" w:eastAsia="Times New Roman" w:hAnsi="Times New Roman" w:cs="Times New Roman"/>
          <w:sz w:val="24"/>
          <w:szCs w:val="24"/>
          <w:lang w:eastAsia="pl-PL"/>
        </w:rPr>
        <w:t xml:space="preserve"> kwot ryczałtowych z faktycznie ponoszonymi wydatkami.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Mając powyższe na uwadze, podczas planowania budżetu projektu należy zwrócić uwagę, iż:</w:t>
      </w:r>
    </w:p>
    <w:p w:rsidR="009B5EA3" w:rsidRPr="009B5EA3" w:rsidRDefault="009B5EA3" w:rsidP="009B5EA3">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przypadku kwot ryczałtowych niezrealizowanie w pełni wskaźników produktu lub rezultatu w ramach zadania objętego kwotą ryczałtową - dana kwota jest uznana za niekwalifikowalną (rozliczenie w systemie „spełnia – nie spełnia”),</w:t>
      </w:r>
    </w:p>
    <w:p w:rsidR="009B5EA3" w:rsidRPr="009B5EA3" w:rsidRDefault="009B5EA3" w:rsidP="009B5EA3">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ramach kwot ryczałtowych zadania nie powinny być nadmiernie rozbudowane.</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Obligatoryjne jest uzasadnienie wszystkich kosztów składających się na kwotę ryczałtową w oparciu o sprawiedliwą, rzetelną i możliwą do zweryfikowania kalkulację zgodnie z zapisami pkt 21 Regulaminu konkursu.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u w:val="single"/>
          <w:lang w:eastAsia="pl-PL"/>
        </w:rPr>
        <w:t xml:space="preserve">Odpowiedź: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w odpowiedzi na zapytanie uprzejmie informuję, iż zgodnie z </w:t>
      </w:r>
      <w:r w:rsidRPr="009B5EA3">
        <w:rPr>
          <w:rFonts w:ascii="Times New Roman" w:eastAsia="Times New Roman" w:hAnsi="Times New Roman" w:cs="Times New Roman"/>
          <w:i/>
          <w:iCs/>
          <w:sz w:val="24"/>
          <w:szCs w:val="24"/>
          <w:lang w:eastAsia="pl-PL"/>
        </w:rPr>
        <w:t>Wytycznymi w zakresie kwalifikowalności wydatków w ramach Europejskiego Funduszu Rozwoju Regionalnego, Europejskiego Funduszu Społecznego oraz Funduszu Spójności na lata 2014-2020</w:t>
      </w:r>
      <w:r w:rsidRPr="009B5EA3">
        <w:rPr>
          <w:rFonts w:ascii="Times New Roman" w:eastAsia="Times New Roman" w:hAnsi="Times New Roman" w:cs="Times New Roman"/>
          <w:sz w:val="24"/>
          <w:szCs w:val="24"/>
          <w:lang w:eastAsia="pl-PL"/>
        </w:rPr>
        <w:t xml:space="preserve"> (zwane dalej: Wytycznymi), Podrozdział 6.6, pkt 3 „</w:t>
      </w:r>
      <w:r w:rsidRPr="009B5EA3">
        <w:rPr>
          <w:rFonts w:ascii="Times New Roman" w:eastAsia="Times New Roman" w:hAnsi="Times New Roman" w:cs="Times New Roman"/>
          <w:i/>
          <w:iCs/>
          <w:sz w:val="24"/>
          <w:szCs w:val="24"/>
          <w:lang w:eastAsia="pl-PL"/>
        </w:rPr>
        <w:t>W przypadku, gdy wszystkie działania/zadania projektu są realizowane z zastosowaniem trybu, o którym mowa w podrozdziale 6.5, działania/zadania te rozliczać można wyłącznie na podstawie faktycznie ponoszonych wydatków. Jeżeli jednak tylko część działań/zadań projektu realizowanych jest z zastosowaniem trybu, o którym mowa w podrozdziale 6.5, w ramach projektu mogą być stosowane uproszczone metody rozliczania wydatków</w:t>
      </w:r>
      <w:r w:rsidRPr="009B5EA3">
        <w:rPr>
          <w:rFonts w:ascii="Times New Roman" w:eastAsia="Times New Roman" w:hAnsi="Times New Roman" w:cs="Times New Roman"/>
          <w:sz w:val="24"/>
          <w:szCs w:val="24"/>
          <w:lang w:eastAsia="pl-PL"/>
        </w:rPr>
        <w:t>”.</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Projekty realizowane w ramach EFS składają się z </w:t>
      </w:r>
      <w:r w:rsidRPr="009B5EA3">
        <w:rPr>
          <w:rFonts w:ascii="Times New Roman" w:eastAsia="Times New Roman" w:hAnsi="Times New Roman" w:cs="Times New Roman"/>
          <w:b/>
          <w:bCs/>
          <w:sz w:val="24"/>
          <w:szCs w:val="24"/>
          <w:lang w:eastAsia="pl-PL"/>
        </w:rPr>
        <w:t>zadań</w:t>
      </w:r>
      <w:r w:rsidRPr="009B5EA3">
        <w:rPr>
          <w:rFonts w:ascii="Times New Roman" w:eastAsia="Times New Roman" w:hAnsi="Times New Roman" w:cs="Times New Roman"/>
          <w:sz w:val="24"/>
          <w:szCs w:val="24"/>
          <w:lang w:eastAsia="pl-PL"/>
        </w:rPr>
        <w:t xml:space="preserve"> w skład, których wchodzą poszczególne koszty (co znajduje odzwierciedlenie w generatorze wniosków).</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Zgodnie z Podrozdziałem 6.6.1 pkt 4 Wytycznych kwotą ryczałtową, jest określona w umowie o dofinansowanie kwota uzgodniona na etapie zatwierdzenia wniosku o dofinasowanie projektu </w:t>
      </w:r>
      <w:r w:rsidRPr="009B5EA3">
        <w:rPr>
          <w:rFonts w:ascii="Times New Roman" w:eastAsia="Times New Roman" w:hAnsi="Times New Roman" w:cs="Times New Roman"/>
          <w:sz w:val="24"/>
          <w:szCs w:val="24"/>
          <w:u w:val="single"/>
          <w:lang w:eastAsia="pl-PL"/>
        </w:rPr>
        <w:t>za wykonanie określonego w projekcie zadania lub zadań</w:t>
      </w:r>
      <w:r w:rsidRPr="009B5EA3">
        <w:rPr>
          <w:rFonts w:ascii="Times New Roman" w:eastAsia="Times New Roman" w:hAnsi="Times New Roman" w:cs="Times New Roman"/>
          <w:sz w:val="24"/>
          <w:szCs w:val="24"/>
          <w:lang w:eastAsia="pl-PL"/>
        </w:rPr>
        <w:t>. Ponadto zgodnie z Podrozdziałem 8.6.2 pkt.1 Wytycznych „</w:t>
      </w:r>
      <w:r w:rsidRPr="009B5EA3">
        <w:rPr>
          <w:rFonts w:ascii="Times New Roman" w:eastAsia="Times New Roman" w:hAnsi="Times New Roman" w:cs="Times New Roman"/>
          <w:i/>
          <w:iCs/>
          <w:sz w:val="24"/>
          <w:szCs w:val="24"/>
          <w:u w:val="single"/>
          <w:lang w:eastAsia="pl-PL"/>
        </w:rPr>
        <w:t xml:space="preserve">Kwotą ryczałtową jest kwota uzgodniona </w:t>
      </w:r>
      <w:r w:rsidRPr="009B5EA3">
        <w:rPr>
          <w:rFonts w:ascii="Times New Roman" w:eastAsia="Times New Roman" w:hAnsi="Times New Roman" w:cs="Times New Roman"/>
          <w:i/>
          <w:iCs/>
          <w:sz w:val="24"/>
          <w:szCs w:val="24"/>
          <w:u w:val="single"/>
          <w:lang w:eastAsia="pl-PL"/>
        </w:rPr>
        <w:lastRenderedPageBreak/>
        <w:t>za wykonanie określonego w projekcie zadania na etapie zatwierdzenia wniosku o dofinansowanie projektu</w:t>
      </w:r>
      <w:r w:rsidRPr="009B5EA3">
        <w:rPr>
          <w:rFonts w:ascii="Times New Roman" w:eastAsia="Times New Roman" w:hAnsi="Times New Roman" w:cs="Times New Roman"/>
          <w:sz w:val="24"/>
          <w:szCs w:val="24"/>
          <w:lang w:eastAsia="pl-PL"/>
        </w:rPr>
        <w:t>”, co oznacza że:</w:t>
      </w:r>
    </w:p>
    <w:p w:rsidR="009B5EA3" w:rsidRPr="009B5EA3" w:rsidRDefault="009B5EA3" w:rsidP="009B5EA3">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jedna kwota ryczałtowa = jedno zadanie;</w:t>
      </w:r>
    </w:p>
    <w:p w:rsidR="009B5EA3" w:rsidRPr="009B5EA3" w:rsidRDefault="009B5EA3" w:rsidP="009B5EA3">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xml:space="preserve">nie ma możliwości łączenia w </w:t>
      </w:r>
      <w:r w:rsidRPr="009B5EA3">
        <w:rPr>
          <w:rFonts w:ascii="Times New Roman" w:eastAsia="Times New Roman" w:hAnsi="Times New Roman" w:cs="Times New Roman"/>
          <w:b/>
          <w:bCs/>
          <w:sz w:val="24"/>
          <w:szCs w:val="24"/>
          <w:lang w:eastAsia="pl-PL"/>
        </w:rPr>
        <w:t>ramach jednego zadania</w:t>
      </w:r>
      <w:r w:rsidRPr="009B5EA3">
        <w:rPr>
          <w:rFonts w:ascii="Times New Roman" w:eastAsia="Times New Roman" w:hAnsi="Times New Roman" w:cs="Times New Roman"/>
          <w:sz w:val="24"/>
          <w:szCs w:val="24"/>
          <w:lang w:eastAsia="pl-PL"/>
        </w:rPr>
        <w:t xml:space="preserve"> kwot ryczałtowych z faktycznie ponoszonymi wydatkami.</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Mając powyższe na uwadze, podczas planowania budżetu projektu należy zwrócić uwagę, iż:</w:t>
      </w:r>
    </w:p>
    <w:p w:rsidR="009B5EA3" w:rsidRPr="009B5EA3" w:rsidRDefault="009B5EA3" w:rsidP="009B5EA3">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przypadku kwot ryczałtowych niezrealizowanie w pełni wskaźników produktu lub rezultatu w ramach zadania objętego kwotą ryczałtową - dana kwota jest uznana za niekwalifikowalną (rozliczenie w systemie „spełnia – nie spełnia”),</w:t>
      </w:r>
    </w:p>
    <w:p w:rsidR="009B5EA3" w:rsidRPr="009B5EA3" w:rsidRDefault="009B5EA3" w:rsidP="009B5EA3">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ramach kwot ryczałtowych zadania nie powinny być nadmiernie rozbudowane.</w:t>
      </w:r>
    </w:p>
    <w:p w:rsidR="009B5EA3" w:rsidRPr="009B5EA3" w:rsidRDefault="009B5EA3" w:rsidP="009B5EA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Obligatoryjne jest uzasadnienie wszystkich kosztów składających się na kwotę ryczałtową w oparciu o sprawiedliwą, rzetelną i możliwą do zweryfikowania kalkulację zgodnie z zapisami pkt 21 Regulaminu konkursu.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u w:val="single"/>
          <w:lang w:eastAsia="pl-PL"/>
        </w:rPr>
        <w:t xml:space="preserve">Odpowiadając na pytanie nr 1: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 xml:space="preserve">Teoretycznie do wszystkich pozycji w ramach zadań przykładowego budżetu można stosować uproszczone metody rozliczania wydatków. </w:t>
      </w:r>
      <w:r w:rsidRPr="009B5EA3">
        <w:rPr>
          <w:rFonts w:ascii="Times New Roman" w:eastAsia="Times New Roman" w:hAnsi="Times New Roman" w:cs="Times New Roman"/>
          <w:sz w:val="24"/>
          <w:szCs w:val="24"/>
          <w:lang w:eastAsia="pl-PL"/>
        </w:rPr>
        <w:t>Konstruując budżet projektu należy kierować się zapisami Szczegółowego Opisu Osi Priorytetowych Regionalnego Programu Operacyjnego Województwa Opolskiego na lata 2014-2020 Zakres Europejski Fundusz Społeczny, zapisami Wytycznych oraz Regulaminu konkursu.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u w:val="single"/>
          <w:lang w:eastAsia="pl-PL"/>
        </w:rPr>
        <w:t xml:space="preserve">Odpowiadając na pytanie nr 2: </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Ze względu na zbyt ogólny charakter pytania odpowiedź na pytanie nie jest możliwa. Konstruując budżet projektu należy kierować się zapisami Szczegółowego Opisu Osi Priorytetowych Regionalnego Programu Operacyjnego Województwa Opolskiego na lata 2014-2020 Zakres Europejski Fundusz Społeczny, zapisami Wytycznych oraz Regulaminu konkursu.</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p>
    <w:p w:rsidR="009B5EA3" w:rsidRPr="009B5EA3" w:rsidRDefault="009B5EA3" w:rsidP="009B5EA3">
      <w:pPr>
        <w:numPr>
          <w:ilvl w:val="0"/>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b/>
          <w:bCs/>
          <w:sz w:val="24"/>
          <w:szCs w:val="24"/>
          <w:lang w:eastAsia="pl-PL"/>
        </w:rPr>
        <w:t>Zwracam się z pytaniem o dopuszczalny limit złożonych wniosków przez jednego wnioskodawcę w ramach naboru. Ponadto czy jedna szkoła (ci sami uczniowie i nauczyciele danej szkoły jako grupa docelowa) może być objęta wparciem w ramach kilku wniosków złożonych w ramach naboru 9.1.2. (np. u różnych wnioskodawców)?</w:t>
      </w:r>
    </w:p>
    <w:p w:rsidR="009B5EA3" w:rsidRPr="009B5EA3" w:rsidRDefault="009B5EA3" w:rsidP="009B5EA3">
      <w:pPr>
        <w:spacing w:before="100" w:beforeAutospacing="1" w:after="100" w:afterAutospacing="1" w:line="240" w:lineRule="auto"/>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W ramach konkursu dot. poddziałania 9.1.2 nie ma limitu wniosków składanych przez jednego wnioskodawcę. Ponadto w przypadku składania wniosków przez różnych wnioskodawców wsparciem może zostać objęta ta sama grupa docelowa.</w:t>
      </w:r>
    </w:p>
    <w:p w:rsidR="00690E1B" w:rsidRPr="009B5EA3" w:rsidRDefault="009B5EA3" w:rsidP="009B5EA3">
      <w:pPr>
        <w:spacing w:before="100" w:beforeAutospacing="1" w:after="100" w:afterAutospacing="1" w:line="240" w:lineRule="auto"/>
        <w:ind w:left="360"/>
        <w:rPr>
          <w:rFonts w:ascii="Times New Roman" w:eastAsia="Times New Roman" w:hAnsi="Times New Roman" w:cs="Times New Roman"/>
          <w:sz w:val="24"/>
          <w:szCs w:val="24"/>
          <w:lang w:eastAsia="pl-PL"/>
        </w:rPr>
      </w:pPr>
      <w:r w:rsidRPr="009B5EA3">
        <w:rPr>
          <w:rFonts w:ascii="Times New Roman" w:eastAsia="Times New Roman" w:hAnsi="Times New Roman" w:cs="Times New Roman"/>
          <w:sz w:val="24"/>
          <w:szCs w:val="24"/>
          <w:lang w:eastAsia="pl-PL"/>
        </w:rPr>
        <w:t> </w:t>
      </w:r>
      <w:bookmarkStart w:id="0" w:name="_GoBack"/>
      <w:bookmarkEnd w:id="0"/>
    </w:p>
    <w:sectPr w:rsidR="00690E1B" w:rsidRPr="009B5E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62920"/>
    <w:multiLevelType w:val="multilevel"/>
    <w:tmpl w:val="E910D0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2E5522"/>
    <w:multiLevelType w:val="multilevel"/>
    <w:tmpl w:val="A5C60D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78A44BE"/>
    <w:multiLevelType w:val="multilevel"/>
    <w:tmpl w:val="E1F28B8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0D63C8"/>
    <w:multiLevelType w:val="multilevel"/>
    <w:tmpl w:val="910C1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B43838"/>
    <w:multiLevelType w:val="multilevel"/>
    <w:tmpl w:val="D908A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83EE2"/>
    <w:multiLevelType w:val="multilevel"/>
    <w:tmpl w:val="5BF8A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0E7468"/>
    <w:multiLevelType w:val="multilevel"/>
    <w:tmpl w:val="F1947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353687"/>
    <w:multiLevelType w:val="multilevel"/>
    <w:tmpl w:val="3D648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EA05FD"/>
    <w:multiLevelType w:val="multilevel"/>
    <w:tmpl w:val="FAA65D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5845A1C"/>
    <w:multiLevelType w:val="multilevel"/>
    <w:tmpl w:val="3B42CA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5E540F5"/>
    <w:multiLevelType w:val="multilevel"/>
    <w:tmpl w:val="831679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48657F79"/>
    <w:multiLevelType w:val="multilevel"/>
    <w:tmpl w:val="4A481B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BAA0249"/>
    <w:multiLevelType w:val="multilevel"/>
    <w:tmpl w:val="A9DCDD3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E682D3C"/>
    <w:multiLevelType w:val="multilevel"/>
    <w:tmpl w:val="3162EA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54FA38D0"/>
    <w:multiLevelType w:val="multilevel"/>
    <w:tmpl w:val="9AB80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A964A4"/>
    <w:multiLevelType w:val="multilevel"/>
    <w:tmpl w:val="4328D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5731D3"/>
    <w:multiLevelType w:val="multilevel"/>
    <w:tmpl w:val="75604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25200B7"/>
    <w:multiLevelType w:val="multilevel"/>
    <w:tmpl w:val="106A1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D1B5206"/>
    <w:multiLevelType w:val="multilevel"/>
    <w:tmpl w:val="FC84F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7"/>
    <w:lvlOverride w:ilvl="0">
      <w:startOverride w:val="2"/>
    </w:lvlOverride>
  </w:num>
  <w:num w:numId="3">
    <w:abstractNumId w:val="12"/>
  </w:num>
  <w:num w:numId="4">
    <w:abstractNumId w:val="4"/>
    <w:lvlOverride w:ilvl="0">
      <w:startOverride w:val="3"/>
    </w:lvlOverride>
  </w:num>
  <w:num w:numId="5">
    <w:abstractNumId w:val="1"/>
  </w:num>
  <w:num w:numId="6">
    <w:abstractNumId w:val="14"/>
    <w:lvlOverride w:ilvl="0">
      <w:startOverride w:val="4"/>
    </w:lvlOverride>
  </w:num>
  <w:num w:numId="7">
    <w:abstractNumId w:val="16"/>
    <w:lvlOverride w:ilvl="0">
      <w:startOverride w:val="5"/>
    </w:lvlOverride>
  </w:num>
  <w:num w:numId="8">
    <w:abstractNumId w:val="11"/>
  </w:num>
  <w:num w:numId="9">
    <w:abstractNumId w:val="15"/>
    <w:lvlOverride w:ilvl="0">
      <w:startOverride w:val="6"/>
    </w:lvlOverride>
  </w:num>
  <w:num w:numId="10">
    <w:abstractNumId w:val="6"/>
    <w:lvlOverride w:ilvl="0">
      <w:startOverride w:val="7"/>
    </w:lvlOverride>
  </w:num>
  <w:num w:numId="11">
    <w:abstractNumId w:val="7"/>
  </w:num>
  <w:num w:numId="12">
    <w:abstractNumId w:val="3"/>
    <w:lvlOverride w:ilvl="0">
      <w:startOverride w:val="8"/>
    </w:lvlOverride>
  </w:num>
  <w:num w:numId="13">
    <w:abstractNumId w:val="18"/>
  </w:num>
  <w:num w:numId="14">
    <w:abstractNumId w:val="0"/>
  </w:num>
  <w:num w:numId="15">
    <w:abstractNumId w:val="10"/>
  </w:num>
  <w:num w:numId="16">
    <w:abstractNumId w:val="9"/>
  </w:num>
  <w:num w:numId="17">
    <w:abstractNumId w:val="8"/>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EA3"/>
    <w:rsid w:val="002E7327"/>
    <w:rsid w:val="009B5EA3"/>
    <w:rsid w:val="00E737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E483AF-0B9E-4D2F-BFF5-9747BC4C9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9B5EA3"/>
    <w:rPr>
      <w:b/>
      <w:bCs/>
    </w:rPr>
  </w:style>
  <w:style w:type="paragraph" w:styleId="NormalnyWeb">
    <w:name w:val="Normal (Web)"/>
    <w:basedOn w:val="Normalny"/>
    <w:uiPriority w:val="99"/>
    <w:semiHidden/>
    <w:unhideWhenUsed/>
    <w:rsid w:val="009B5EA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9B5EA3"/>
    <w:rPr>
      <w:i/>
      <w:iCs/>
    </w:rPr>
  </w:style>
  <w:style w:type="character" w:styleId="Hipercze">
    <w:name w:val="Hyperlink"/>
    <w:basedOn w:val="Domylnaczcionkaakapitu"/>
    <w:uiPriority w:val="99"/>
    <w:semiHidden/>
    <w:unhideWhenUsed/>
    <w:rsid w:val="009B5E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961402">
      <w:bodyDiv w:val="1"/>
      <w:marLeft w:val="0"/>
      <w:marRight w:val="0"/>
      <w:marTop w:val="0"/>
      <w:marBottom w:val="0"/>
      <w:divBdr>
        <w:top w:val="none" w:sz="0" w:space="0" w:color="auto"/>
        <w:left w:val="none" w:sz="0" w:space="0" w:color="auto"/>
        <w:bottom w:val="none" w:sz="0" w:space="0" w:color="auto"/>
        <w:right w:val="none" w:sz="0" w:space="0" w:color="auto"/>
      </w:divBdr>
      <w:divsChild>
        <w:div w:id="1110902829">
          <w:marLeft w:val="0"/>
          <w:marRight w:val="0"/>
          <w:marTop w:val="0"/>
          <w:marBottom w:val="0"/>
          <w:divBdr>
            <w:top w:val="none" w:sz="0" w:space="0" w:color="auto"/>
            <w:left w:val="none" w:sz="0" w:space="0" w:color="auto"/>
            <w:bottom w:val="none" w:sz="0" w:space="0" w:color="auto"/>
            <w:right w:val="none" w:sz="0" w:space="0" w:color="auto"/>
          </w:divBdr>
          <w:divsChild>
            <w:div w:id="1463697638">
              <w:marLeft w:val="0"/>
              <w:marRight w:val="0"/>
              <w:marTop w:val="0"/>
              <w:marBottom w:val="0"/>
              <w:divBdr>
                <w:top w:val="none" w:sz="0" w:space="0" w:color="auto"/>
                <w:left w:val="none" w:sz="0" w:space="0" w:color="auto"/>
                <w:bottom w:val="none" w:sz="0" w:space="0" w:color="auto"/>
                <w:right w:val="none" w:sz="0" w:space="0" w:color="auto"/>
              </w:divBdr>
              <w:divsChild>
                <w:div w:id="126067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glomeracja-opolska.pl/pl/node/837" TargetMode="External"/><Relationship Id="rId5" Type="http://schemas.openxmlformats.org/officeDocument/2006/relationships/hyperlink" Target="https://pw.opolski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3441</Words>
  <Characters>20652</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Tyła</dc:creator>
  <cp:keywords/>
  <dc:description/>
  <cp:lastModifiedBy>Aleksandra Tyła</cp:lastModifiedBy>
  <cp:revision>1</cp:revision>
  <dcterms:created xsi:type="dcterms:W3CDTF">2016-07-28T08:44:00Z</dcterms:created>
  <dcterms:modified xsi:type="dcterms:W3CDTF">2016-07-28T08:44:00Z</dcterms:modified>
</cp:coreProperties>
</file>